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before="384" w:after="192" w:line="408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9"/>
          <w:szCs w:val="29"/>
          <w:lang w:eastAsia="ru-RU"/>
        </w:rPr>
        <w:t xml:space="preserve">ПОЛОЖЕНИЕ О ПРЕМИИ «ЦИФРОВОЙ АВАНГАРД — 2026»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384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" cy="30480"/>
                <wp:effectExtent l="0" t="0" r="0" b="0"/>
                <wp:docPr id="1" name="Прямоугольник 12" descr="data:image/png;base64,iVBORw0KGgoAAAANSUhEUgAAAAIAAAADCAYAAAC56t6BAAAADUlEQVR4AWJigAJMBgAAAP//K6u/FQAAAAZJREFUAwAAhwAHzHzzyA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60" cy="3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0" o:spid="_x0000_s0" o:spt="1" type="#_x0000_t1" style="width:1.80pt;height:2.4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84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6"/>
          <w:szCs w:val="26"/>
          <w:lang w:eastAsia="ru-RU"/>
        </w:rPr>
        <w:t xml:space="preserve">ОПРЕДЕЛЕНИЕ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«Цифровой Авангард» — ежегодная профессиональная премия. Она учреждена </w:t>
      </w: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Агентством «Домовой и Партнеры»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для поощрения профсоюзных организаций, НКО и их лидеров, добившихся значимых успехов в оцифровке своей работы, внедрении современных технологий и цифровой трансформации профсоюзной деятельности.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Соорганизатор</w:t>
      </w: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 премии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— редакция центральной профсоюзной газеты «Солидарность»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Премия вручается победителям (лауреатам) за деятельность, в результате которой: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значительно повысилась эффективность работы организации за счет цифровых инструментов;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улучшилось качество обслуживания членов организации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 или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благополучателей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 через онлайн-сервисы;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была автоматизирована рутинная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работа  сотрудников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 и активистов;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выросла прозрачность, скорость и доступность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общественно-значимых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услуг.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Конкурсный год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— с 1 сентября 2025 года по 31 августа 2026 года (включительно). События, действия или проекты, имевшие место за пределами конкурсного года, не рассматриваются.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</w:pPr>
      <w:r>
        <w:rPr>
          <w:rFonts w:ascii="Segoe UI" w:hAnsi="Segoe UI" w:eastAsia="Times New Roman" w:cs="Segoe UI"/>
          <w:b/>
          <w:color w:val="0f1115"/>
          <w:sz w:val="19"/>
          <w:szCs w:val="19"/>
          <w:lang w:eastAsia="ru-RU"/>
        </w:rPr>
        <w:t xml:space="preserve">Спонсор премии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 – физическое или юридическое лицо, разделяющее ценность консолидации опыта внедрения цифровых инструментов в работу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общественных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организаций и готовое материально поддержать проведение данной премии.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Подведение итогов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состоится на ежегодной церемонии награждения, приуроченной к конференции «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Профоцифровка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»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Агентства «Домовой и Партнеры».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384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" cy="30480"/>
                <wp:effectExtent l="0" t="0" r="0" b="0"/>
                <wp:docPr id="2" name="Прямоугольник 11" descr="data:image/png;base64,iVBORw0KGgoAAAANSUhEUgAAAAIAAAADCAYAAAC56t6BAAAADUlEQVR4AWJigAJMBgAAAP//K6u/FQAAAAZJREFUAwAAhwAHzHzzyA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60" cy="3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" o:spid="_x0000_s1" o:spt="1" type="#_x0000_t1" style="width:1.80pt;height:2.4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84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6"/>
          <w:szCs w:val="26"/>
          <w:lang w:eastAsia="ru-RU"/>
        </w:rPr>
        <w:t xml:space="preserve">НОМИНАЦИИ ПРЕМИИ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W w:w="0" w:type="auto"/>
        <w:tblCellSpacing w:w="0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394"/>
        <w:gridCol w:w="2762"/>
        <w:gridCol w:w="5883"/>
      </w:tblGrid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7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2762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Номинация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5" w:type="dxa"/>
              <w:bottom w:w="120" w:type="dxa"/>
            </w:tcMar>
            <w:tcW w:w="588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Описание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7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2762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«Лучшая цифровая экосистема»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88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Комплексное внедрение цифровых решений (CRM/портал), объединяющих внутренние процессы (учет членов, документооборот, задачи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) и внешние сервисы для членов организации (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благополучателей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.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 Оцениваются системность, масштаб и устойчивость решения.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7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2762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«Прорыв года в </w:t>
            </w: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цифровизации</w:t>
            </w: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88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Наиболее впечатляющий переход от «бумажно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й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»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 организации 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к цифрово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й 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за конкурсный год. Оценивается динамика: скорость внедрения, охват процессов, вовлеченность членов профсоюза.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7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2762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«Лучший цифровой сервис </w:t>
            </w: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для людей</w:t>
            </w: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88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Онлайн-инструменты, которые реально облегчают жизнь членам 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организации (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благополучателям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)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: подача заявок на матпомощь, юридические консультации, запись на обучение и мероприятия, доступ к льготам.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7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2762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«Цифровая школа активиста»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88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Образовательные цифровые проекты: онлайн-курсы, 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вебинары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, базы знаний, подкасты, 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видеолекции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 для повышения цифровой грамотности 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актива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 и сотрудников.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7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2762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«Автоматизация рутины»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88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Точечные решения для автоматизации учетных и контрольных процессов: учет членских взносов, электронный документооборот, автоматизация проверок охраны труда, управление мероприятиями и наградами.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7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2762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«Цифровая коммуникация и PR»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88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Эффективное использование 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соцсетей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, мессенджеров, e-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mail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-рассылок, сайта, чат-ботов для вовлечения новых членов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 организации (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благополучателей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)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, информирования и укрепления имиджа организации.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7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2762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«Цифровой лидер»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88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Персональная номинация для руководителя, председателя или активиста, который лично возглавил и реализовал цифровую трансформацию своей 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НКО или профсоюзной организации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7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2762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«Народный выбор»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88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Победитель определяется открытым интернет-голосованием среди всех заявок. Номинация для вовлечения аудитории и общественного признания лучших цифровых проектов.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before="384" w:after="384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" cy="30480"/>
                <wp:effectExtent l="0" t="0" r="0" b="0"/>
                <wp:docPr id="3" name="Прямоугольник 10" descr="data:image/png;base64,iVBORw0KGgoAAAANSUhEUgAAAAIAAAADCAYAAAC56t6BAAAADUlEQVR4AWJigAJMBgAAAP//K6u/FQAAAAZJREFUAwAAhwAHzHzzyA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60" cy="3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" o:spid="_x0000_s2" o:spt="1" type="#_x0000_t1" style="width:1.80pt;height:2.4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84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6"/>
          <w:szCs w:val="26"/>
          <w:lang w:eastAsia="ru-RU"/>
        </w:rPr>
        <w:t xml:space="preserve">УЧАСТНИКИ И УСЛОВИЯ ИХ ДОПУСКА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Соискателями премии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могут быть: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профсоюзные организации любого уровня (первичные профсоюзные организации, территориальные организации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профсоюзов,  территориальные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 профсоюзные объединения, общероссийские и межрегиональные профсоюзы);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некоммерческие общественные организации;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отдельные активисты и руководители (в номинации «Цифровой лидер»).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Условия допуска: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3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Проект или решение должно быть </w:t>
      </w: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реализовано на практике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в конкурсный год.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3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Одна организация может подать заявку </w:t>
      </w: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не более чем в двух номинациях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(кроме номинации «Цифровой лидер» — она может быть дополнительной).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3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В номинации «Народный выбор» организация или активист автоматически участвуют, если подали заявку в любой другой номинации (отдельной заявки не требуется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, но требуется согласие на участие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3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Члены жюри и представляемые ими организации </w:t>
      </w: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не могут участвовать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в конкурсе в качестве номинантов, но имеют право выдвигать кандидатуры из других профсоюзных организаций.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3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При наличии новых крупных достижений лауреат может быть выдвинут на премию повторно в следующем году.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384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" cy="30480"/>
                <wp:effectExtent l="0" t="0" r="0" b="0"/>
                <wp:docPr id="4" name="Прямоугольник 9" descr="data:image/png;base64,iVBORw0KGgoAAAANSUhEUgAAAAIAAAADCAYAAAC56t6BAAAADUlEQVR4AWJigAJMBgAAAP//K6u/FQAAAAZJREFUAwAAhwAHzHzzyA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60" cy="3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" o:spid="_x0000_s3" o:spt="1" type="#_x0000_t1" style="width:1.80pt;height:2.4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84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6"/>
          <w:szCs w:val="26"/>
          <w:lang w:eastAsia="ru-RU"/>
        </w:rPr>
        <w:t xml:space="preserve">КРИТЕРИИ ОЦЕНКИ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Жюри оценивает каждую заявку по следующим критериям (в зависимости от номинации набор критериев может уточняться):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W w:w="0" w:type="auto"/>
        <w:tblCellSpacing w:w="0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2545"/>
        <w:gridCol w:w="784"/>
        <w:gridCol w:w="5695"/>
      </w:tblGrid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254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Критерий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784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Вес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5" w:type="dxa"/>
              <w:bottom w:w="120" w:type="dxa"/>
            </w:tcMar>
            <w:tcW w:w="569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Описание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254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Эффективность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784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20%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69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Реальный измеримый результат: экономия времени, сокращение затрат, рост числа обращений/участников, ускорение процессов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254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Инновационность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784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20%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69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Новизна подхода для профсоюзной сферы, использование передовых технологий (CRM, чат-боты, BI-аналитика, мобильные приложения)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254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Масштабируемость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784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15%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69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Возможность тиражирования опыта в других организациях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254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Удобство для пользователей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784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15%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69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Простота использования для членов 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организации (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благополучателей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)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 и активистов (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юзабилити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, доступность, включая версию для слабовидящих)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254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Вовлеченность аудитории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784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20%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69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Количество активных пользователей, отзывы, обратная связь, рост членства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254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Прозрачность и безопасность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784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10%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69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Защита персональных данных, понятность процессов, доступность документации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before="384" w:after="384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" cy="30480"/>
                <wp:effectExtent l="0" t="0" r="0" b="0"/>
                <wp:docPr id="5" name="Прямоугольник 8" descr="data:image/png;base64,iVBORw0KGgoAAAANSUhEUgAAAAIAAAADCAYAAAC56t6BAAAADUlEQVR4AWJigAJMBgAAAP//K6u/FQAAAAZJREFUAwAAhwAHzHzzyA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60" cy="3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" o:spid="_x0000_s4" o:spt="1" type="#_x0000_t1" style="width:1.80pt;height:2.4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84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6"/>
          <w:szCs w:val="26"/>
          <w:lang w:eastAsia="ru-RU"/>
        </w:rPr>
        <w:t xml:space="preserve">ПОРЯДОК ВЫДВИЖЕНИЯ И ПРОВЕДЕНИЯ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60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4"/>
          <w:szCs w:val="24"/>
          <w:lang w:eastAsia="ru-RU"/>
        </w:rPr>
        <w:t xml:space="preserve">Этап 1. Прием заявок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Сроки: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с 1 мая 2026 года по 31 августа 2026 года (включительно).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Заявка подается через специальную форму на официальном сайте премии.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60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4"/>
          <w:szCs w:val="24"/>
          <w:lang w:eastAsia="ru-RU"/>
        </w:rPr>
        <w:t xml:space="preserve">Этап 2. Техническая экспертиза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Сроки: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до 31 августа 2026 года.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Оргкомитет проверяет заявки на соответствие формальным требованиям (полнота заполнения, наличие обязательных материалов, принадлежность к конкурсному году). Заявки, не прошедшие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техэкспертизу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, отклоняются с уведомлением.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60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4"/>
          <w:szCs w:val="24"/>
          <w:lang w:eastAsia="ru-RU"/>
        </w:rPr>
        <w:t xml:space="preserve">Этап 3. Оценка жюри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Сроки: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1 сентября – 20 сентября 2026 года.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Каждый член жюри оценивает заявки по утвержденным критериям. По итогам формируется шорт-лист (не более 5 финалистов в каждой номинации). В случае, если в номинации подано менее 5 заявок, все они переходят в шорт-лист.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60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4"/>
          <w:szCs w:val="24"/>
          <w:lang w:eastAsia="ru-RU"/>
        </w:rPr>
        <w:t xml:space="preserve">Этап 4. Народное голосование (для номинации №8)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Сроки: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1 сентября– 20 сентября 2026 года.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Все заявки, поданные на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премию,  участвуют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 в номинации «Народный выбор», выносятся на открытое интернет-голосование на сайте премии. Победитель определяется по наибольшему количеству голосов.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60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4"/>
          <w:szCs w:val="24"/>
          <w:lang w:eastAsia="ru-RU"/>
        </w:rPr>
        <w:t xml:space="preserve">Этап 5. Определение победителей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Сроки: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20 сентября-1 октября 2026 года.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Жюри в закрытом голосовании определяет победителей в каждой номинации (кроме номинации «Народный выбор», где победитель определяется по итогам голосования). В каждой номинации определяется </w:t>
      </w: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один победитель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(лауреат). По решению жюри могут быть вручены специальные дипломы.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60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4"/>
          <w:szCs w:val="24"/>
          <w:lang w:eastAsia="ru-RU"/>
        </w:rPr>
        <w:t xml:space="preserve">Этап 6. Церемония награждения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Дата: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7 октябрь 2026 года.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Торжественная церемония проходит в очном формате в рамках конференции «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Профоцифровка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».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384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" cy="30480"/>
                <wp:effectExtent l="0" t="0" r="0" b="0"/>
                <wp:docPr id="6" name="Прямоугольник 7" descr="data:image/png;base64,iVBORw0KGgoAAAANSUhEUgAAAAIAAAADCAYAAAC56t6BAAAADUlEQVR4AWJigAJMBgAAAP//K6u/FQAAAAZJREFUAwAAhwAHzHzzyA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60" cy="3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5" o:spid="_x0000_s5" o:spt="1" type="#_x0000_t1" style="width:1.80pt;height:2.4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84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6"/>
          <w:szCs w:val="26"/>
          <w:lang w:eastAsia="ru-RU"/>
        </w:rPr>
        <w:t xml:space="preserve">ТРЕБОВАНИЯ К ЗАЯВКЕ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Заявка подается в электронном виде и должна содержать: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4"/>
        </w:numPr>
        <w:ind w:left="1248"/>
        <w:spacing w:before="100" w:after="96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Обязательные поля: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5"/>
        </w:numPr>
        <w:ind w:left="1248"/>
        <w:spacing w:before="100" w:after="0" w:line="336" w:lineRule="atLeast"/>
        <w:tabs>
          <w:tab w:val="clear" w:pos="720" w:leader="none"/>
          <w:tab w:val="left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Полное название организации (или ФИО, должность для «Цифрового лидера»).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5"/>
        </w:numPr>
        <w:ind w:left="1248"/>
        <w:spacing w:before="100" w:after="0" w:line="336" w:lineRule="atLeast"/>
        <w:tabs>
          <w:tab w:val="clear" w:pos="720" w:leader="none"/>
          <w:tab w:val="left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Численность членов профсоюза, которых затронул проект.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5"/>
        </w:numPr>
        <w:ind w:left="1248"/>
        <w:spacing w:before="100" w:after="0" w:line="336" w:lineRule="atLeast"/>
        <w:tabs>
          <w:tab w:val="clear" w:pos="720" w:leader="none"/>
          <w:tab w:val="left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Контактные данные (телефон, e-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mail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, ответственное лицо).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5"/>
        </w:numPr>
        <w:ind w:left="1248"/>
        <w:spacing w:before="100" w:after="0" w:line="336" w:lineRule="atLeast"/>
        <w:tabs>
          <w:tab w:val="clear" w:pos="720" w:leader="none"/>
          <w:tab w:val="left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Номинация(и), на которые подается заявка.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5"/>
        </w:numPr>
        <w:ind w:left="1248"/>
        <w:spacing w:before="100" w:after="0" w:line="336" w:lineRule="atLeast"/>
        <w:tabs>
          <w:tab w:val="clear" w:pos="720" w:leader="none"/>
          <w:tab w:val="left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Период реализации проекта в конкурсном году.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6"/>
        </w:numPr>
        <w:ind w:left="1248"/>
        <w:spacing w:before="100" w:after="96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Основное описание (до 6000 печатных знаков с пробелами):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7"/>
        </w:numPr>
        <w:ind w:left="1248"/>
        <w:spacing w:before="100" w:after="0" w:line="336" w:lineRule="atLeast"/>
        <w:tabs>
          <w:tab w:val="clear" w:pos="720" w:leader="none"/>
          <w:tab w:val="left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Суть проекта или решения.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7"/>
        </w:numPr>
        <w:ind w:left="1248"/>
        <w:spacing w:before="100" w:after="0" w:line="336" w:lineRule="atLeast"/>
        <w:tabs>
          <w:tab w:val="clear" w:pos="720" w:leader="none"/>
          <w:tab w:val="left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Какие процессы были оцифрованы.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7"/>
        </w:numPr>
        <w:ind w:left="1248"/>
        <w:spacing w:before="100" w:after="0" w:line="336" w:lineRule="atLeast"/>
        <w:tabs>
          <w:tab w:val="clear" w:pos="720" w:leader="none"/>
          <w:tab w:val="left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Какие технологии и инструменты использовались (CRM, 1С, портал, чат-бот,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телеграм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-бот, мобильное приложение, BI и т.д.).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7"/>
        </w:numPr>
        <w:ind w:left="1248"/>
        <w:spacing w:before="100" w:after="0" w:line="336" w:lineRule="atLeast"/>
        <w:tabs>
          <w:tab w:val="clear" w:pos="720" w:leader="none"/>
          <w:tab w:val="left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Количественные и качественные результаты (данные до/после внедрения).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7"/>
        </w:numPr>
        <w:ind w:left="1248"/>
        <w:spacing w:before="100" w:after="0" w:line="336" w:lineRule="atLeast"/>
        <w:tabs>
          <w:tab w:val="clear" w:pos="720" w:leader="none"/>
          <w:tab w:val="left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Уникальность или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инновационность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 подхода.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8"/>
        </w:numPr>
        <w:spacing w:before="100" w:after="96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Дополнительные материалы (по желанию):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1248"/>
        <w:spacing w:before="100" w:after="0" w:line="336" w:lineRule="atLeast"/>
        <w:tabs>
          <w:tab w:val="clear" w:pos="720" w:leader="none"/>
          <w:tab w:val="left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Скриншоты, фото, видео-презентации (не более 5 файлов).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1248"/>
        <w:spacing w:before="100" w:after="0" w:line="336" w:lineRule="atLeast"/>
        <w:tabs>
          <w:tab w:val="clear" w:pos="720" w:leader="none"/>
          <w:tab w:val="left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Письма поддержки от членов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организации,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благополучателей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,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 работодателя.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1248"/>
        <w:spacing w:before="100" w:after="0" w:line="336" w:lineRule="atLeast"/>
        <w:tabs>
          <w:tab w:val="clear" w:pos="720" w:leader="none"/>
          <w:tab w:val="left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Отзывы пользователей.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1248"/>
        <w:spacing w:before="100" w:after="0" w:line="336" w:lineRule="atLeast"/>
        <w:tabs>
          <w:tab w:val="clear" w:pos="720" w:leader="none"/>
          <w:tab w:val="left" w:pos="14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Ссылки на публикации о проекте.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0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Согласие на обработку персональных данных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(галочка в форме).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Внимание: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Оргкомитет оставляет за собой право запросить дополнительные материалы и провести экспертизу представленных данных.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384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" cy="30480"/>
                <wp:effectExtent l="0" t="0" r="0" b="0"/>
                <wp:docPr id="7" name="Прямоугольник 6" descr="data:image/png;base64,iVBORw0KGgoAAAANSUhEUgAAAAIAAAADCAYAAAC56t6BAAAADUlEQVR4AWJigAJMBgAAAP//K6u/FQAAAAZJREFUAwAAhwAHzHzzyA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60" cy="3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6" o:spid="_x0000_s6" o:spt="1" type="#_x0000_t1" style="width:1.80pt;height:2.4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84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6"/>
          <w:szCs w:val="26"/>
          <w:lang w:eastAsia="ru-RU"/>
        </w:rPr>
        <w:t xml:space="preserve">СОСТАВ И РАБОТА ЖЮРИ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Жюри формируется Организатором премии — Агентством «Домовой и Партнеры».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Состав жюри: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1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Представители Агентства «Домовой и Партнеры».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1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Приглашенные эксперты по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цифровизации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 и IT.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1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Представители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 организаций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, имеющие успешный опыт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цифровизации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1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Представитель медиа или профильного издания.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Принципы работы: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2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Члены жюри действуют на общественных началах.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2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Члены жюри и представляемые ими организации не могут участвовать в конкурсе.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2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Жюри может привлекать независимых консультантов и экспертов.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2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Жюри может запрашивать у соискателей дополнительные материалы.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2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Решения принимаются простым большинством голосов. При равенстве голосов председатель жюри имеет решающий голос.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2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Жюри не рецензирует присланные на премию материалы, не формирует обратную связь для заявителей.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384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" cy="30480"/>
                <wp:effectExtent l="0" t="0" r="0" b="0"/>
                <wp:docPr id="8" name="Прямоугольник 5" descr="data:image/png;base64,iVBORw0KGgoAAAANSUhEUgAAAAIAAAADCAYAAAC56t6BAAAADUlEQVR4AWJigAJMBgAAAP//K6u/FQAAAAZJREFUAwAAhwAHzHzzyA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60" cy="3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7" o:spid="_x0000_s7" o:spt="1" type="#_x0000_t1" style="width:1.80pt;height:2.4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84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6"/>
          <w:szCs w:val="26"/>
          <w:lang w:eastAsia="ru-RU"/>
        </w:rPr>
        <w:t xml:space="preserve">НАГРАЖДЕНИЕ И ПРИЗЫ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W w:w="0" w:type="auto"/>
        <w:tblCellSpacing w:w="0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2671"/>
        <w:gridCol w:w="6353"/>
      </w:tblGrid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2671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Награда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635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Описание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2671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Для победителей (лауреатов)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635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Памятный знак (статуэтка), диплом победителя, публикация на сайте премии и в 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соцсетях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 Агентства «Домовой и Партнеры», интервью/статья о проекте в профильных медиа (по согласованию), 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видеокейс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2671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Для финалистов (шорт-лист)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635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Диплом финалиста, публикация на сайте премии кейса.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2671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Для всех участников, допущенных до конкурса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635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Электронный сертификат участника.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2671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Дополнительно (по решению Организатора)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635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Возможно учреждение сертификата на развитие цифрового проекта или обучение команды (размер и условия объявляются отдельно) в рамках деятельности Агентства.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2671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Segoe UI" w:hAnsi="Segoe UI" w:eastAsia="Times New Roman" w:cs="Segoe UI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color w:val="000000"/>
                <w:sz w:val="18"/>
                <w:szCs w:val="18"/>
                <w:lang w:eastAsia="ru-RU"/>
              </w:rPr>
              <w:t xml:space="preserve">Дополнительно (по решению Спонсора)</w:t>
            </w:r>
            <w:r>
              <w:rPr>
                <w:rFonts w:ascii="Segoe UI" w:hAnsi="Segoe UI" w:eastAsia="Times New Roman" w:cs="Segoe UI"/>
                <w:b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635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Возможно учреждение специальных призов и вручение подарков.</w:t>
            </w: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2671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6353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before="192" w:after="192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Обязательства Организатора: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3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Изготовление памятных знаков, дипломов и иных форм поощрения.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3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Организация и проведение церемонии награждения.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3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Информационное сопровождение премии (сайт,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соцсети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, рассылки, взаимодействие со СМИ).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384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" cy="30480"/>
                <wp:effectExtent l="0" t="0" r="0" b="0"/>
                <wp:docPr id="9" name="Прямоугольник 4" descr="data:image/png;base64,iVBORw0KGgoAAAANSUhEUgAAAAIAAAADCAYAAAC56t6BAAAADUlEQVR4AWJigAJMBgAAAP//K6u/FQAAAAZJREFUAwAAhwAHzHzzyA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60" cy="3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8" o:spid="_x0000_s8" o:spt="1" type="#_x0000_t1" style="width:1.80pt;height:2.4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84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6"/>
          <w:szCs w:val="26"/>
          <w:lang w:eastAsia="ru-RU"/>
        </w:rPr>
        <w:t xml:space="preserve">ПОДВЕДЕНИЕ ИТОГОВ И ПУБЛИКАЦИЯ РЕЗУЛЬТАТОВ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4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Итоги конкурса оформляются </w:t>
      </w: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протоколом заседания жюри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4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Победители объявляются на церемонии награждения и </w:t>
      </w: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публикуются на официальном сайте премии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в течение 3 рабочих дней после церемонии.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4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Сведения о номинантах, описание проектов, методики и результаты могут быть полностью или частично </w:t>
      </w: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опубликованы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на сайте премии, в блоге Агентства «Домовой и Партнеры» (</w:t>
      </w:r>
      <w:hyperlink r:id="rId9" w:tooltip="https://domovoy.pro/blog/cases/" w:history="1">
        <w:r>
          <w:rPr>
            <w:rFonts w:ascii="Segoe UI" w:hAnsi="Segoe UI" w:eastAsia="Times New Roman" w:cs="Segoe UI"/>
            <w:color w:val="3964fe"/>
            <w:sz w:val="19"/>
            <w:szCs w:val="19"/>
            <w:u w:val="single"/>
            <w:lang w:eastAsia="ru-RU"/>
          </w:rPr>
          <w:t xml:space="preserve">https://domovoy.pro/blog/cases/</w:t>
        </w:r>
      </w:hyperlink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), а также в партнерских СМИ с указанием авторства.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4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Организации-лауреаты обязуются </w:t>
      </w: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содействовать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 тем, кто желает ознакомиться с их опытом работы (в разумных пределах: предоставление контактов, участие в 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вебинарах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, открытые материалы).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384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" cy="30480"/>
                <wp:effectExtent l="0" t="0" r="0" b="0"/>
                <wp:docPr id="10" name="Прямоугольник 3" descr="data:image/png;base64,iVBORw0KGgoAAAANSUhEUgAAAAIAAAADCAYAAAC56t6BAAAADUlEQVR4AWJigAJMBgAAAP//K6u/FQAAAAZJREFUAwAAhwAHzHzzyA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60" cy="3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9" o:spid="_x0000_s9" o:spt="1" type="#_x0000_t1" style="width:1.80pt;height:2.4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84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6"/>
          <w:szCs w:val="26"/>
          <w:lang w:eastAsia="ru-RU"/>
        </w:rPr>
        <w:t xml:space="preserve">ЗАКЛЮЧИТЕЛЬНЫЕ ПОЛОЖЕНИЯ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5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Организатор оставляет за собой право вносить изменения в настоящее Положение с обязательной публикацией изменений на официальном сайте премии.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5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В случае форс-мажорных обстоятельств сроки проведения премии могут быть скорректированы с уведомлением участников через официальные каналы связи.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5"/>
        </w:numPr>
        <w:ind w:left="1248"/>
        <w:spacing w:before="100" w:after="0" w:line="336" w:lineRule="atLeast"/>
        <w:tabs>
          <w:tab w:val="left" w:pos="7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t xml:space="preserve">По всем вопросам, не урегулированным настоящим Положением, решение принимает Организатор премии — Агентство «Домовой и Партнеры».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384" w:line="336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" cy="30480"/>
                <wp:effectExtent l="0" t="0" r="0" b="0"/>
                <wp:docPr id="11" name="Прямоугольник 2" descr="data:image/png;base64,iVBORw0KGgoAAAANSUhEUgAAAAIAAAADCAYAAAC56t6BAAAADUlEQVR4AWJigAJMBgAAAP//K6u/FQAAAAZJREFUAwAAhwAHzHzzyA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60" cy="3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0" o:spid="_x0000_s10" o:spt="1" type="#_x0000_t1" style="width:1.80pt;height:2.4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\</w:t>
      </w:r>
      <w:bookmarkStart w:id="0" w:name="_GoBack"/>
      <w:r/>
      <w:bookmarkEnd w:id="0"/>
      <w:r/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384" w:after="192" w:line="384" w:lineRule="atLeas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egoe UI" w:hAnsi="Segoe UI" w:eastAsia="Times New Roman" w:cs="Segoe UI"/>
          <w:b/>
          <w:bCs/>
          <w:color w:val="0f1115"/>
          <w:sz w:val="26"/>
          <w:szCs w:val="26"/>
          <w:lang w:eastAsia="ru-RU"/>
        </w:rPr>
        <w:t xml:space="preserve">КОНТАКТНАЯ ИНФОРМАЦИЯ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W w:w="0" w:type="auto"/>
        <w:tblCellSpacing w:w="0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3329"/>
        <w:gridCol w:w="5695"/>
      </w:tblGrid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32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Вопросы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192" w:type="dxa"/>
              <w:bottom w:w="120" w:type="dxa"/>
            </w:tcMar>
            <w:tcW w:w="569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Контакты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32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Технические проблемы при подаче заявки,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организационные вопросы и консультации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69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Calibri"/>
                <w:color w:val="000000"/>
                <w:lang w:eastAsia="ru-RU"/>
              </w:rPr>
              <w:t xml:space="preserve">ТГ: </w:t>
            </w:r>
            <w:hyperlink r:id="rId10" w:tooltip="https://t.me/DomovoyProBot" w:history="1">
              <w:r>
                <w:rPr>
                  <w:rFonts w:ascii="Segoe UI" w:hAnsi="Segoe UI" w:eastAsia="Times New Roman" w:cs="Segoe UI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https://t.me/DomovoyProBot</w:t>
              </w:r>
            </w:hyperlink>
            <w:r>
              <w:rPr>
                <w:rFonts w:ascii="Segoe UI" w:hAnsi="Segoe UI" w:eastAsia="Times New Roman" w:cs="Segoe UI"/>
                <w:color w:val="161616"/>
                <w:sz w:val="20"/>
                <w:szCs w:val="20"/>
                <w:lang w:eastAsia="ru-RU"/>
              </w:rPr>
              <w:t xml:space="preserve">  , MAX </w:t>
            </w:r>
            <w:hyperlink r:id="rId11" w:tooltip="https://max.ru/id7726438781_bot" w:history="1">
              <w:r>
                <w:rPr>
                  <w:rFonts w:ascii="Segoe UI" w:hAnsi="Segoe UI" w:eastAsia="Times New Roman" w:cs="Segoe UI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https://max.ru/id7726438781_bot</w:t>
              </w:r>
            </w:hyperlink>
            <w:r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32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69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32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Партнерство и спонсорство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69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partners@domovoy.pro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32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Сайт премии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69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/>
            <w:hyperlink r:id="rId12" w:tooltip="https://digitization.team/" w:history="1">
              <w:r>
                <w:rPr>
                  <w:rFonts w:ascii="Segoe UI" w:hAnsi="Segoe UI" w:eastAsia="Times New Roman" w:cs="Segoe UI"/>
                  <w:color w:val="0000ff"/>
                  <w:sz w:val="18"/>
                  <w:szCs w:val="18"/>
                  <w:u w:val="single"/>
                  <w:lang w:eastAsia="ru-RU"/>
                </w:rPr>
                <w:t xml:space="preserve">https://digitization.team/</w:t>
              </w:r>
            </w:hyperlink>
            <w:r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20" w:type="dxa"/>
              <w:right w:w="192" w:type="dxa"/>
              <w:bottom w:w="120" w:type="dxa"/>
            </w:tcMar>
            <w:tcW w:w="3329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eastAsia="ru-RU"/>
              </w:rPr>
              <w:t xml:space="preserve">Телефон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92" w:type="dxa"/>
              <w:top w:w="120" w:type="dxa"/>
              <w:right w:w="0" w:type="dxa"/>
              <w:bottom w:w="120" w:type="dxa"/>
            </w:tcMar>
            <w:tcW w:w="5695" w:type="dxa"/>
            <w:vAlign w:val="center"/>
            <w:textDirection w:val="lrTb"/>
            <w:noWrap w:val="false"/>
          </w:tcPr>
          <w:p>
            <w:pPr>
              <w:spacing w:after="0" w:line="300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" w:hAnsi="Segoe UI" w:eastAsia="Times New Roman" w:cs="Segoe UI"/>
                <w:color w:val="000000"/>
                <w:sz w:val="18"/>
                <w:szCs w:val="18"/>
                <w:lang w:eastAsia="ru-RU"/>
              </w:rPr>
              <w:t xml:space="preserve">+7 (499) 577-02-52 (доб. 037)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before="384" w:after="384" w:line="336" w:lineRule="atLeast"/>
      </w:pP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" cy="30480"/>
                <wp:effectExtent l="0" t="0" r="0" b="0"/>
                <wp:docPr id="12" name="Прямоугольник 1" descr="data:image/png;base64,iVBORw0KGgoAAAANSUhEUgAAAAIAAAADCAYAAAC56t6BAAAADUlEQVR4AWJigAJMBgAAAP//K6u/FQAAAAZJREFUAwAAhwAHzHzzyAAAAABJRU5ErkJggg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860" cy="3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1" o:spid="_x0000_s11" o:spt="1" type="#_x0000_t1" style="width:1.80pt;height:2.4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Segoe UI" w:hAnsi="Segoe UI" w:eastAsia="Times New Roman" w:cs="Segoe UI"/>
          <w:b/>
          <w:bCs/>
          <w:color w:val="0f1115"/>
          <w:sz w:val="19"/>
          <w:szCs w:val="19"/>
          <w:lang w:eastAsia="ru-RU"/>
        </w:rPr>
        <w:t xml:space="preserve">Агентство «Домовой и Партнеры»</w:t>
      </w:r>
      <w:r>
        <w:rPr>
          <w:rFonts w:ascii="Segoe UI" w:hAnsi="Segoe UI" w:eastAsia="Times New Roman" w:cs="Segoe UI"/>
          <w:color w:val="0f1115"/>
          <w:sz w:val="19"/>
          <w:szCs w:val="19"/>
          <w:lang w:eastAsia="ru-RU"/>
        </w:rPr>
        <w:br/>
        <w:t xml:space="preserve"> </w:t>
      </w:r>
      <w:r>
        <w:rPr>
          <w:rFonts w:ascii="Segoe UI" w:hAnsi="Segoe UI" w:eastAsia="Times New Roman" w:cs="Segoe UI"/>
          <w:i/>
          <w:iCs/>
          <w:color w:val="0f1115"/>
          <w:sz w:val="19"/>
          <w:szCs w:val="19"/>
          <w:lang w:eastAsia="ru-RU"/>
        </w:rPr>
        <w:t xml:space="preserve">Где мы, там победа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3"/>
  </w:num>
  <w:num w:numId="5">
    <w:abstractNumId w:val="5"/>
  </w:num>
  <w:num w:numId="6">
    <w:abstractNumId w:val="11"/>
    <w:lvlOverride w:ilvl="0">
      <w:lvl w:ilvl="0">
        <w:start w:val="1"/>
        <w:numFmt w:val="decimal"/>
        <w:isLgl w:val="false"/>
        <w:suff w:val="tab"/>
        <w:lvlText w:val="%1."/>
        <w:lvlJc w:val="left"/>
        <w:pPr/>
      </w:lvl>
    </w:lvlOverride>
  </w:num>
  <w:num w:numId="7">
    <w:abstractNumId w:val="4"/>
  </w:num>
  <w:num w:numId="8">
    <w:abstractNumId w:val="6"/>
    <w:lvlOverride w:ilvl="0">
      <w:lvl w:ilvl="0">
        <w:start w:val="1"/>
        <w:numFmt w:val="decimal"/>
        <w:isLgl w:val="false"/>
        <w:suff w:val="tab"/>
        <w:lvlText w:val="%1."/>
        <w:lvlJc w:val="left"/>
        <w:pPr/>
      </w:lvl>
    </w:lvlOverride>
  </w:num>
  <w:num w:numId="9">
    <w:abstractNumId w:val="2"/>
  </w:num>
  <w:num w:numId="10">
    <w:abstractNumId w:val="14"/>
    <w:lvlOverride w:ilvl="0">
      <w:lvl w:ilvl="0">
        <w:start w:val="1"/>
        <w:numFmt w:val="decimal"/>
        <w:isLgl w:val="false"/>
        <w:suff w:val="tab"/>
        <w:lvlText w:val="%1."/>
        <w:lvlJc w:val="left"/>
        <w:pPr/>
      </w:lvl>
    </w:lvlOverride>
  </w:num>
  <w:num w:numId="11">
    <w:abstractNumId w:val="0"/>
  </w:num>
  <w:num w:numId="12">
    <w:abstractNumId w:val="8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48"/>
    <w:next w:val="64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4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48"/>
    <w:next w:val="64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4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48"/>
    <w:next w:val="64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4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48"/>
    <w:next w:val="64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4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48"/>
    <w:next w:val="64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4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48"/>
    <w:next w:val="64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4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48"/>
    <w:next w:val="64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4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48"/>
    <w:next w:val="64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4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48"/>
    <w:next w:val="64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4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4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48"/>
    <w:next w:val="64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49"/>
    <w:link w:val="35"/>
    <w:uiPriority w:val="10"/>
    <w:rPr>
      <w:sz w:val="48"/>
      <w:szCs w:val="48"/>
    </w:rPr>
  </w:style>
  <w:style w:type="paragraph" w:styleId="37">
    <w:name w:val="Subtitle"/>
    <w:basedOn w:val="648"/>
    <w:next w:val="64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49"/>
    <w:link w:val="37"/>
    <w:uiPriority w:val="11"/>
    <w:rPr>
      <w:sz w:val="24"/>
      <w:szCs w:val="24"/>
    </w:rPr>
  </w:style>
  <w:style w:type="paragraph" w:styleId="39">
    <w:name w:val="Quote"/>
    <w:basedOn w:val="648"/>
    <w:next w:val="64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48"/>
    <w:next w:val="64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4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49"/>
    <w:link w:val="43"/>
    <w:uiPriority w:val="99"/>
  </w:style>
  <w:style w:type="paragraph" w:styleId="45">
    <w:name w:val="Footer"/>
    <w:basedOn w:val="64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49"/>
    <w:link w:val="45"/>
    <w:uiPriority w:val="99"/>
  </w:style>
  <w:style w:type="paragraph" w:styleId="47">
    <w:name w:val="Caption"/>
    <w:basedOn w:val="648"/>
    <w:next w:val="64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4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5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4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49"/>
    <w:uiPriority w:val="99"/>
    <w:unhideWhenUsed/>
    <w:rPr>
      <w:vertAlign w:val="superscript"/>
    </w:rPr>
  </w:style>
  <w:style w:type="paragraph" w:styleId="179">
    <w:name w:val="endnote text"/>
    <w:basedOn w:val="64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49"/>
    <w:uiPriority w:val="99"/>
    <w:semiHidden/>
    <w:unhideWhenUsed/>
    <w:rPr>
      <w:vertAlign w:val="superscript"/>
    </w:rPr>
  </w:style>
  <w:style w:type="paragraph" w:styleId="182">
    <w:name w:val="toc 1"/>
    <w:basedOn w:val="648"/>
    <w:next w:val="64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48"/>
    <w:next w:val="64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48"/>
    <w:next w:val="64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48"/>
    <w:next w:val="64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48"/>
    <w:next w:val="64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48"/>
    <w:next w:val="64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48"/>
    <w:next w:val="64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48"/>
    <w:next w:val="64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48"/>
    <w:next w:val="64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48"/>
    <w:next w:val="648"/>
    <w:uiPriority w:val="99"/>
    <w:unhideWhenUsed/>
    <w:pPr>
      <w:spacing w:after="0" w:afterAutospacing="0"/>
    </w:pPr>
  </w:style>
  <w:style w:type="paragraph" w:styleId="648" w:default="1">
    <w:name w:val="Normal"/>
    <w:qFormat/>
  </w:style>
  <w:style w:type="character" w:styleId="649" w:default="1">
    <w:name w:val="Default Paragraph Font"/>
    <w:uiPriority w:val="1"/>
    <w:semiHidden/>
    <w:unhideWhenUsed/>
  </w:style>
  <w:style w:type="table" w:styleId="65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1" w:default="1">
    <w:name w:val="No List"/>
    <w:uiPriority w:val="99"/>
    <w:semiHidden/>
    <w:unhideWhenUsed/>
  </w:style>
  <w:style w:type="paragraph" w:styleId="652" w:customStyle="1">
    <w:name w:val="docdata"/>
    <w:basedOn w:val="64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53">
    <w:name w:val="Normal (Web)"/>
    <w:basedOn w:val="648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54">
    <w:name w:val="Hyperlink"/>
    <w:basedOn w:val="649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domovoy.pro/blog/cases/" TargetMode="External"/><Relationship Id="rId10" Type="http://schemas.openxmlformats.org/officeDocument/2006/relationships/hyperlink" Target="https://t.me/DomovoyProBot" TargetMode="External"/><Relationship Id="rId11" Type="http://schemas.openxmlformats.org/officeDocument/2006/relationships/hyperlink" Target="https://max.ru/id7726438781_bot" TargetMode="External"/><Relationship Id="rId12" Type="http://schemas.openxmlformats.org/officeDocument/2006/relationships/hyperlink" Target="https://digitization.team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Илья Ведёхин</cp:lastModifiedBy>
  <cp:revision>3</cp:revision>
  <dcterms:created xsi:type="dcterms:W3CDTF">2026-06-11T08:09:00Z</dcterms:created>
  <dcterms:modified xsi:type="dcterms:W3CDTF">2026-06-16T10:44:52Z</dcterms:modified>
</cp:coreProperties>
</file>